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26B1" w14:textId="77777777" w:rsidR="003C61D3" w:rsidRDefault="003C61D3" w:rsidP="003C61D3">
      <w:pPr>
        <w:pStyle w:val="a3"/>
        <w:shd w:val="clear" w:color="auto" w:fill="FFFFFF"/>
        <w:wordWrap w:val="0"/>
        <w:spacing w:before="0" w:beforeAutospacing="0" w:after="0" w:afterAutospacing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关于印发《不需建立固定资产台账的物品清单》的通知</w:t>
      </w:r>
    </w:p>
    <w:p w14:paraId="3A450096" w14:textId="77777777" w:rsidR="003C61D3" w:rsidRDefault="003C61D3" w:rsidP="003C61D3">
      <w:pPr>
        <w:pStyle w:val="a3"/>
        <w:shd w:val="clear" w:color="auto" w:fill="FFFFFF"/>
        <w:wordWrap w:val="0"/>
        <w:spacing w:before="0" w:beforeAutospacing="0" w:after="0" w:afterAutospacing="0"/>
        <w:jc w:val="center"/>
        <w:rPr>
          <w:rFonts w:hint="eastAsia"/>
          <w:b/>
          <w:sz w:val="44"/>
          <w:szCs w:val="44"/>
        </w:rPr>
      </w:pPr>
    </w:p>
    <w:p w14:paraId="04343B62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22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bookmarkStart w:id="0" w:name="OLE_LINK3"/>
      <w:r>
        <w:rPr>
          <w:rFonts w:ascii="仿宋" w:eastAsia="仿宋" w:hAnsi="仿宋" w:hint="eastAsia"/>
          <w:color w:val="000000"/>
          <w:sz w:val="30"/>
          <w:szCs w:val="30"/>
        </w:rPr>
        <w:t>校内各单位：</w:t>
      </w:r>
    </w:p>
    <w:p w14:paraId="62D6DD9D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为明确标准、提升工作效率、方便师生办理相关业务，经与财经处沟通协商，现印发《不需建立固定资产台账的物品清单》（见附件，以下简称《清单》）。凡《清单》中列出物品，</w:t>
      </w:r>
      <w:r>
        <w:rPr>
          <w:rFonts w:ascii="仿宋" w:eastAsia="仿宋" w:hAnsi="仿宋" w:hint="eastAsia"/>
          <w:color w:val="000000"/>
          <w:sz w:val="30"/>
          <w:szCs w:val="30"/>
          <w:highlight w:val="yellow"/>
        </w:rPr>
        <w:t>一律参照低值易耗品管理方式办</w:t>
      </w:r>
      <w:r>
        <w:rPr>
          <w:rFonts w:ascii="仿宋" w:eastAsia="仿宋" w:hAnsi="仿宋" w:hint="eastAsia"/>
          <w:color w:val="000000"/>
          <w:sz w:val="30"/>
          <w:szCs w:val="30"/>
        </w:rPr>
        <w:t>理相关业务，价值超过固定资产价值标准的，也不需建立固定资产台账或增值。</w:t>
      </w:r>
    </w:p>
    <w:p w14:paraId="6800C705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报销时，请在</w:t>
      </w:r>
      <w:r>
        <w:rPr>
          <w:rFonts w:ascii="仿宋" w:eastAsia="仿宋" w:hAnsi="仿宋" w:hint="eastAsia"/>
          <w:color w:val="000000"/>
          <w:sz w:val="30"/>
          <w:szCs w:val="30"/>
          <w:highlight w:val="yellow"/>
        </w:rPr>
        <w:t>财经处网报单摘要里写清附件中物品相应代码。</w:t>
      </w:r>
    </w:p>
    <w:p w14:paraId="00DFF5BE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《清单》自印发之日起执行，并根据实际情况不定期更新。</w:t>
      </w:r>
    </w:p>
    <w:p w14:paraId="2AE33538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特此通知。</w:t>
      </w:r>
    </w:p>
    <w:p w14:paraId="697D6BDA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</w:p>
    <w:p w14:paraId="0B9F6C9E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附件：不需建立固定资产台账的物品清单</w:t>
      </w:r>
    </w:p>
    <w:p w14:paraId="7E16A018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</w:p>
    <w:p w14:paraId="4508A97C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</w:p>
    <w:p w14:paraId="785AE21F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</w:p>
    <w:p w14:paraId="51A1A490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</w:p>
    <w:p w14:paraId="41331855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</w:p>
    <w:p w14:paraId="60393D8F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righ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国有资产管理处</w:t>
      </w:r>
    </w:p>
    <w:p w14:paraId="0EFB7822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righ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2023年6月26日</w:t>
      </w:r>
      <w:bookmarkEnd w:id="0"/>
      <w:r>
        <w:rPr>
          <w:rFonts w:ascii="仿宋" w:eastAsia="仿宋" w:hAnsi="仿宋" w:hint="eastAsia"/>
          <w:color w:val="000000"/>
          <w:sz w:val="30"/>
          <w:szCs w:val="30"/>
        </w:rPr>
        <w:br w:type="page"/>
      </w:r>
    </w:p>
    <w:p w14:paraId="603C7A61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hanging="120"/>
        <w:jc w:val="both"/>
        <w:rPr>
          <w:rFonts w:hint="eastAsia"/>
          <w:b/>
          <w:color w:val="FF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lastRenderedPageBreak/>
        <w:t>附件：</w:t>
      </w:r>
      <w:r>
        <w:rPr>
          <w:rFonts w:hint="eastAsia"/>
          <w:b/>
          <w:color w:val="FF0000"/>
          <w:sz w:val="36"/>
          <w:szCs w:val="36"/>
        </w:rPr>
        <w:t xml:space="preserve"> </w:t>
      </w:r>
    </w:p>
    <w:p w14:paraId="0B2FC6C4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不需建立固定资产台账的物品清单</w:t>
      </w:r>
    </w:p>
    <w:tbl>
      <w:tblPr>
        <w:tblStyle w:val="a4"/>
        <w:tblW w:w="8926" w:type="dxa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3C61D3" w14:paraId="0D6954D9" w14:textId="77777777" w:rsidTr="003C61D3">
        <w:trPr>
          <w:trHeight w:val="7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36B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 w:line="600" w:lineRule="atLeast"/>
              <w:ind w:left="120" w:right="278" w:hanging="98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BC5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/>
              <w:ind w:left="119" w:right="278" w:hanging="96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物品名称</w:t>
            </w:r>
          </w:p>
        </w:tc>
      </w:tr>
      <w:tr w:rsidR="003C61D3" w14:paraId="01211BA8" w14:textId="77777777" w:rsidTr="003C61D3">
        <w:trPr>
          <w:trHeight w:val="7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BB1D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 w:line="600" w:lineRule="atLeast"/>
              <w:ind w:left="120" w:right="278" w:hanging="98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F671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101.内存条 102.网卡 </w:t>
            </w:r>
            <w:r>
              <w:rPr>
                <w:rFonts w:ascii="仿宋" w:eastAsia="仿宋" w:hAnsi="仿宋" w:hint="eastAsia"/>
                <w:sz w:val="28"/>
                <w:szCs w:val="28"/>
                <w:highlight w:val="yellow"/>
              </w:rPr>
              <w:t>103.耳机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104.键盘 105.光软驱、刻录机 </w:t>
            </w:r>
            <w:r>
              <w:rPr>
                <w:rFonts w:ascii="仿宋" w:eastAsia="仿宋" w:hAnsi="仿宋" w:hint="eastAsia"/>
                <w:sz w:val="28"/>
                <w:szCs w:val="28"/>
                <w:highlight w:val="yellow"/>
              </w:rPr>
              <w:t>106.硬盘、移动硬盘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highlight w:val="yellow"/>
              </w:rPr>
              <w:t>107.电子词典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108.专业控制板 109.数据采集卡 110.控制单元 111.平板电脑配套的键盘及手写笔 112.导轨</w:t>
            </w:r>
          </w:p>
        </w:tc>
      </w:tr>
      <w:tr w:rsidR="003C61D3" w14:paraId="116A2B41" w14:textId="77777777" w:rsidTr="003C61D3">
        <w:trPr>
          <w:trHeight w:val="7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9DE5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 w:line="600" w:lineRule="atLeast"/>
              <w:ind w:left="120" w:right="278" w:hanging="98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实验器材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5E4B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201.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移液器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202.热电偶203.试验用光学镜片 204.电极帽 205.鸟类追踪器 206.探针座、探针 207.支架、调节座、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固定座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208.线缆、光纤、线缆接头 209.玻璃器皿及制品210.物镜 211.管材、板材、型材  212.硅片 213.偏振片 214.滤光片 215.压力钢瓶、消解罐 216. 相位板 217.光源用灯泡 218.促动杆 219.真空计 220.图像传感模块 221.实验设备电源 222.隔膜阀 223.角阀 224.功率/能量探头225.激光二极管 226.位移控制器 227.激光防护眼镜 228.磁搅拌器 229.传感器探头 </w:t>
            </w:r>
          </w:p>
        </w:tc>
      </w:tr>
      <w:tr w:rsidR="003C61D3" w14:paraId="7D290CC5" w14:textId="77777777" w:rsidTr="003C61D3">
        <w:trPr>
          <w:trHeight w:val="7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2572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 w:line="600" w:lineRule="atLeast"/>
              <w:ind w:left="120" w:right="278" w:hanging="98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办公耗材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F2B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301.投影仪灯泡 302.硒鼓 303.墨盒</w:t>
            </w:r>
          </w:p>
        </w:tc>
      </w:tr>
      <w:tr w:rsidR="003C61D3" w14:paraId="4DCD40CF" w14:textId="77777777" w:rsidTr="003C61D3">
        <w:trPr>
          <w:trHeight w:val="7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CDFD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 w:line="600" w:lineRule="atLeast"/>
              <w:ind w:left="120" w:right="278" w:hanging="98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实验耗材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3674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401.化学试剂 402.色谱柱 403.靶材 404.研磨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仪筛圈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405.ICP光谱仪矩管、中心管、雾化器、铜箔 </w:t>
            </w:r>
          </w:p>
          <w:p w14:paraId="6487EE49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406.液态水同位素进样针 407.TOC仪铂金网 408.质谱仪GB进样针、EA进样杆、活塞杆 409.进口标样 410.衬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底 411.光刻胶412.滤器滤网滤膜 413.实验用气体 414.石英管  415.光学晶体 416.衰减片电极（材料）</w:t>
            </w:r>
          </w:p>
        </w:tc>
      </w:tr>
      <w:tr w:rsidR="003C61D3" w14:paraId="3B0FEA06" w14:textId="77777777" w:rsidTr="003C61D3">
        <w:trPr>
          <w:trHeight w:val="7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1A51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 w:line="600" w:lineRule="atLeast"/>
              <w:ind w:left="120" w:right="278" w:hanging="98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无形资产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7C73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501.定期续费的数据库或电子图书</w:t>
            </w:r>
          </w:p>
          <w:p w14:paraId="25153E9E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502.</w:t>
            </w:r>
            <w:r>
              <w:rPr>
                <w:rFonts w:ascii="仿宋" w:eastAsia="仿宋" w:hAnsi="仿宋" w:hint="eastAsia"/>
                <w:sz w:val="28"/>
                <w:szCs w:val="28"/>
                <w:highlight w:val="yellow"/>
              </w:rPr>
              <w:t>非用于教学科研的各种活动视频</w:t>
            </w:r>
          </w:p>
        </w:tc>
      </w:tr>
      <w:tr w:rsidR="003C61D3" w14:paraId="3F00E691" w14:textId="77777777" w:rsidTr="003C61D3">
        <w:trPr>
          <w:trHeight w:val="7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AB9D" w14:textId="77777777" w:rsidR="003C61D3" w:rsidRDefault="003C61D3">
            <w:pPr>
              <w:pStyle w:val="a3"/>
              <w:shd w:val="clear" w:color="auto" w:fill="FFFFFF"/>
              <w:spacing w:before="0" w:beforeAutospacing="0" w:after="0" w:afterAutospacing="0" w:line="600" w:lineRule="atLeast"/>
              <w:ind w:left="120" w:right="278" w:hanging="98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9229" w14:textId="77777777" w:rsidR="003C61D3" w:rsidRDefault="003C61D3">
            <w:pPr>
              <w:pStyle w:val="a3"/>
              <w:shd w:val="clear" w:color="auto" w:fill="FFFFFF"/>
              <w:adjustRightInd w:val="0"/>
              <w:spacing w:before="0" w:beforeAutospacing="0" w:after="0" w:afterAutospacing="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highlight w:val="yellow"/>
              </w:rPr>
              <w:t>601.展架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602.试验相关箱包 603.教学科研用仿真模具（仿真模型） </w:t>
            </w:r>
            <w:r>
              <w:rPr>
                <w:rFonts w:ascii="仿宋" w:eastAsia="仿宋" w:hAnsi="仿宋" w:hint="eastAsia"/>
                <w:sz w:val="28"/>
                <w:szCs w:val="28"/>
                <w:highlight w:val="yellow"/>
              </w:rPr>
              <w:t>604.隔断（含屏风）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605.遮光罩 606.遮光帘</w:t>
            </w:r>
          </w:p>
        </w:tc>
      </w:tr>
    </w:tbl>
    <w:p w14:paraId="209A20F2" w14:textId="77777777" w:rsidR="003C61D3" w:rsidRDefault="003C61D3" w:rsidP="003C61D3">
      <w:pPr>
        <w:pStyle w:val="a3"/>
        <w:shd w:val="clear" w:color="auto" w:fill="FFFFFF"/>
        <w:spacing w:before="0" w:beforeAutospacing="0" w:after="0" w:afterAutospacing="0" w:line="600" w:lineRule="atLeast"/>
        <w:ind w:left="120" w:right="278" w:firstLine="600"/>
        <w:jc w:val="both"/>
        <w:rPr>
          <w:rFonts w:ascii="仿宋" w:eastAsia="仿宋" w:hAnsi="仿宋" w:hint="eastAsia"/>
          <w:color w:val="000000"/>
          <w:sz w:val="30"/>
          <w:szCs w:val="30"/>
        </w:rPr>
      </w:pPr>
    </w:p>
    <w:p w14:paraId="5C080117" w14:textId="77777777" w:rsidR="007610AB" w:rsidRPr="003C61D3" w:rsidRDefault="007610AB">
      <w:bookmarkStart w:id="1" w:name="_GoBack"/>
      <w:bookmarkEnd w:id="1"/>
    </w:p>
    <w:sectPr w:rsidR="007610AB" w:rsidRPr="003C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7D"/>
    <w:rsid w:val="001E487D"/>
    <w:rsid w:val="003C61D3"/>
    <w:rsid w:val="0076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FFD9E-D68E-41E1-80E6-F6CA3304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3C61D3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2023-12-19T08:09:00Z</dcterms:created>
  <dcterms:modified xsi:type="dcterms:W3CDTF">2023-12-19T08:10:00Z</dcterms:modified>
</cp:coreProperties>
</file>